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CA" w:rsidRPr="00484ACA" w:rsidRDefault="00484ACA" w:rsidP="00484ACA">
      <w:pPr>
        <w:shd w:val="clear" w:color="auto" w:fill="F7F9EE"/>
        <w:spacing w:after="0" w:line="450" w:lineRule="atLeast"/>
        <w:outlineLvl w:val="1"/>
        <w:rPr>
          <w:rFonts w:ascii="Times New Roman" w:eastAsia="Times New Roman" w:hAnsi="Times New Roman" w:cs="Times New Roman"/>
          <w:b/>
          <w:bCs/>
          <w:caps/>
          <w:sz w:val="31"/>
          <w:szCs w:val="31"/>
          <w:lang w:eastAsia="uk-UA"/>
        </w:rPr>
      </w:pPr>
      <w:r w:rsidRPr="00484ACA">
        <w:rPr>
          <w:rFonts w:ascii="Times New Roman" w:eastAsia="Times New Roman" w:hAnsi="Times New Roman" w:cs="Times New Roman"/>
          <w:b/>
          <w:bCs/>
          <w:caps/>
          <w:sz w:val="31"/>
          <w:szCs w:val="31"/>
          <w:lang w:eastAsia="uk-UA"/>
        </w:rPr>
        <w:t>ЕКСТЕРНАТНА ФОРМА ЗДОБУТТЯ ОСВІТИ (ЕКСТЕРНАТ)</w:t>
      </w:r>
    </w:p>
    <w:p w:rsidR="00484ACA" w:rsidRPr="00484ACA" w:rsidRDefault="00484ACA" w:rsidP="00484ACA">
      <w:pPr>
        <w:shd w:val="clear" w:color="auto" w:fill="FFFFFF"/>
        <w:spacing w:after="0" w:line="240" w:lineRule="auto"/>
        <w:rPr>
          <w:rFonts w:ascii="Arial" w:eastAsia="Times New Roman" w:hAnsi="Arial" w:cs="Arial"/>
          <w:color w:val="242320"/>
          <w:sz w:val="20"/>
          <w:szCs w:val="20"/>
          <w:lang w:eastAsia="uk-UA"/>
        </w:rPr>
      </w:pPr>
      <w:r w:rsidRPr="00484ACA">
        <w:rPr>
          <w:rFonts w:ascii="Arial" w:eastAsia="Times New Roman" w:hAnsi="Arial" w:cs="Arial"/>
          <w:b/>
          <w:bCs/>
          <w:color w:val="242320"/>
          <w:sz w:val="20"/>
          <w:lang w:eastAsia="uk-UA"/>
        </w:rPr>
        <w:t> </w:t>
      </w:r>
      <w:proofErr w:type="spellStart"/>
      <w:r w:rsidRPr="00484ACA">
        <w:rPr>
          <w:rFonts w:ascii="Arial" w:eastAsia="Times New Roman" w:hAnsi="Arial" w:cs="Arial"/>
          <w:b/>
          <w:bCs/>
          <w:color w:val="242320"/>
          <w:sz w:val="20"/>
          <w:lang w:eastAsia="uk-UA"/>
        </w:rPr>
        <w:t>Екстернатна</w:t>
      </w:r>
      <w:proofErr w:type="spellEnd"/>
      <w:r w:rsidRPr="00484ACA">
        <w:rPr>
          <w:rFonts w:ascii="Arial" w:eastAsia="Times New Roman" w:hAnsi="Arial" w:cs="Arial"/>
          <w:b/>
          <w:bCs/>
          <w:color w:val="242320"/>
          <w:sz w:val="20"/>
          <w:lang w:eastAsia="uk-UA"/>
        </w:rPr>
        <w:t xml:space="preserve"> форма здобуття освіти (екстернат)</w:t>
      </w:r>
      <w:r w:rsidRPr="00484ACA">
        <w:rPr>
          <w:rFonts w:ascii="Arial" w:eastAsia="Times New Roman" w:hAnsi="Arial" w:cs="Arial"/>
          <w:color w:val="242320"/>
          <w:sz w:val="20"/>
          <w:szCs w:val="20"/>
          <w:lang w:eastAsia="uk-UA"/>
        </w:rPr>
        <w:t>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tbl>
      <w:tblPr>
        <w:tblW w:w="11025" w:type="dxa"/>
        <w:shd w:val="clear" w:color="auto" w:fill="FFFFFF"/>
        <w:tblCellMar>
          <w:top w:w="15" w:type="dxa"/>
          <w:left w:w="15" w:type="dxa"/>
          <w:bottom w:w="15" w:type="dxa"/>
          <w:right w:w="15" w:type="dxa"/>
        </w:tblCellMar>
        <w:tblLook w:val="04A0"/>
      </w:tblPr>
      <w:tblGrid>
        <w:gridCol w:w="3195"/>
        <w:gridCol w:w="4155"/>
        <w:gridCol w:w="3675"/>
      </w:tblGrid>
      <w:tr w:rsidR="00484ACA" w:rsidRPr="00484ACA" w:rsidTr="00484ACA">
        <w:tc>
          <w:tcPr>
            <w:tcW w:w="3195" w:type="dxa"/>
            <w:shd w:val="clear" w:color="auto" w:fill="FFFFFF"/>
            <w:vAlign w:val="center"/>
            <w:hideMark/>
          </w:tcPr>
          <w:p w:rsidR="00484ACA" w:rsidRPr="00484ACA" w:rsidRDefault="00484ACA" w:rsidP="00484ACA">
            <w:pPr>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    Форма здобуття освіти</w:t>
            </w:r>
          </w:p>
        </w:tc>
        <w:tc>
          <w:tcPr>
            <w:tcW w:w="4155" w:type="dxa"/>
            <w:shd w:val="clear" w:color="auto" w:fill="FFFFFF"/>
            <w:vAlign w:val="center"/>
            <w:hideMark/>
          </w:tcPr>
          <w:p w:rsidR="00484ACA" w:rsidRPr="00484ACA" w:rsidRDefault="00484ACA" w:rsidP="00484ACA">
            <w:pPr>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   Організація освітнього середовища</w:t>
            </w:r>
          </w:p>
        </w:tc>
        <w:tc>
          <w:tcPr>
            <w:tcW w:w="3675" w:type="dxa"/>
            <w:shd w:val="clear" w:color="auto" w:fill="FFFFFF"/>
            <w:vAlign w:val="center"/>
            <w:hideMark/>
          </w:tcPr>
          <w:p w:rsidR="00484ACA" w:rsidRPr="00484ACA" w:rsidRDefault="00484ACA" w:rsidP="00484ACA">
            <w:pPr>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  Перевірка результатів освіти (</w:t>
            </w:r>
            <w:proofErr w:type="spellStart"/>
            <w:r w:rsidRPr="00484ACA">
              <w:rPr>
                <w:rFonts w:ascii="Arial" w:eastAsia="Times New Roman" w:hAnsi="Arial" w:cs="Arial"/>
                <w:color w:val="242320"/>
                <w:sz w:val="20"/>
                <w:szCs w:val="20"/>
                <w:lang w:eastAsia="uk-UA"/>
              </w:rPr>
              <w:t>компетентностей</w:t>
            </w:r>
            <w:proofErr w:type="spellEnd"/>
            <w:r w:rsidRPr="00484ACA">
              <w:rPr>
                <w:rFonts w:ascii="Arial" w:eastAsia="Times New Roman" w:hAnsi="Arial" w:cs="Arial"/>
                <w:color w:val="242320"/>
                <w:sz w:val="20"/>
                <w:szCs w:val="20"/>
                <w:lang w:eastAsia="uk-UA"/>
              </w:rPr>
              <w:t>)</w:t>
            </w:r>
          </w:p>
        </w:tc>
      </w:tr>
      <w:tr w:rsidR="00484ACA" w:rsidRPr="00484ACA" w:rsidTr="00484ACA">
        <w:tc>
          <w:tcPr>
            <w:tcW w:w="3195" w:type="dxa"/>
            <w:shd w:val="clear" w:color="auto" w:fill="FFFFFF"/>
            <w:vAlign w:val="center"/>
            <w:hideMark/>
          </w:tcPr>
          <w:p w:rsidR="00484ACA" w:rsidRPr="00484ACA" w:rsidRDefault="00484ACA" w:rsidP="00484ACA">
            <w:pPr>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Екстернат</w:t>
            </w:r>
          </w:p>
          <w:p w:rsidR="00484ACA" w:rsidRPr="00484ACA" w:rsidRDefault="00484ACA" w:rsidP="00484ACA">
            <w:pPr>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 </w:t>
            </w:r>
          </w:p>
        </w:tc>
        <w:tc>
          <w:tcPr>
            <w:tcW w:w="4155" w:type="dxa"/>
            <w:shd w:val="clear" w:color="auto" w:fill="FFFFFF"/>
            <w:vAlign w:val="center"/>
            <w:hideMark/>
          </w:tcPr>
          <w:p w:rsidR="00484ACA" w:rsidRPr="00484ACA" w:rsidRDefault="00484ACA" w:rsidP="00484ACA">
            <w:pPr>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 xml:space="preserve">Здобувачі освіти навчаються самостійно, використовуючи підручники та </w:t>
            </w:r>
            <w:proofErr w:type="spellStart"/>
            <w:r w:rsidRPr="00484ACA">
              <w:rPr>
                <w:rFonts w:ascii="Arial" w:eastAsia="Times New Roman" w:hAnsi="Arial" w:cs="Arial"/>
                <w:color w:val="242320"/>
                <w:sz w:val="20"/>
                <w:szCs w:val="20"/>
                <w:lang w:eastAsia="uk-UA"/>
              </w:rPr>
              <w:t>інтернет-ресурси</w:t>
            </w:r>
            <w:proofErr w:type="spellEnd"/>
            <w:r w:rsidRPr="00484ACA">
              <w:rPr>
                <w:rFonts w:ascii="Arial" w:eastAsia="Times New Roman" w:hAnsi="Arial" w:cs="Arial"/>
                <w:color w:val="242320"/>
                <w:sz w:val="20"/>
                <w:szCs w:val="20"/>
                <w:lang w:eastAsia="uk-UA"/>
              </w:rPr>
              <w:t xml:space="preserve">. Консультації із розрахунку 15 </w:t>
            </w:r>
            <w:proofErr w:type="spellStart"/>
            <w:r w:rsidRPr="00484ACA">
              <w:rPr>
                <w:rFonts w:ascii="Arial" w:eastAsia="Times New Roman" w:hAnsi="Arial" w:cs="Arial"/>
                <w:color w:val="242320"/>
                <w:sz w:val="20"/>
                <w:szCs w:val="20"/>
                <w:lang w:eastAsia="uk-UA"/>
              </w:rPr>
              <w:t>хв</w:t>
            </w:r>
            <w:proofErr w:type="spellEnd"/>
            <w:r w:rsidRPr="00484ACA">
              <w:rPr>
                <w:rFonts w:ascii="Arial" w:eastAsia="Times New Roman" w:hAnsi="Arial" w:cs="Arial"/>
                <w:color w:val="242320"/>
                <w:sz w:val="20"/>
                <w:szCs w:val="20"/>
                <w:lang w:eastAsia="uk-UA"/>
              </w:rPr>
              <w:t xml:space="preserve"> на одного учня з кожного предмету за рік.</w:t>
            </w:r>
          </w:p>
        </w:tc>
        <w:tc>
          <w:tcPr>
            <w:tcW w:w="3675" w:type="dxa"/>
            <w:shd w:val="clear" w:color="auto" w:fill="FFFFFF"/>
            <w:vAlign w:val="center"/>
            <w:hideMark/>
          </w:tcPr>
          <w:p w:rsidR="00484ACA" w:rsidRPr="00484ACA" w:rsidRDefault="00484ACA" w:rsidP="00484ACA">
            <w:pPr>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 Здобувачі освіти проходять річне оцінювання з усіх предметів інваріантної частини навчального плану згідно складених графіків.</w:t>
            </w:r>
          </w:p>
        </w:tc>
      </w:tr>
    </w:tbl>
    <w:p w:rsidR="00484ACA" w:rsidRPr="00484ACA" w:rsidRDefault="00484ACA" w:rsidP="00484ACA">
      <w:pPr>
        <w:shd w:val="clear" w:color="auto" w:fill="FFFFFF"/>
        <w:spacing w:after="0" w:line="240" w:lineRule="auto"/>
        <w:rPr>
          <w:rFonts w:ascii="Arial" w:eastAsia="Times New Roman" w:hAnsi="Arial" w:cs="Arial"/>
          <w:color w:val="242320"/>
          <w:sz w:val="20"/>
          <w:szCs w:val="20"/>
          <w:lang w:eastAsia="uk-UA"/>
        </w:rPr>
      </w:pPr>
      <w:r w:rsidRPr="00484ACA">
        <w:rPr>
          <w:rFonts w:ascii="Arial" w:eastAsia="Times New Roman" w:hAnsi="Arial" w:cs="Arial"/>
          <w:b/>
          <w:bCs/>
          <w:i/>
          <w:iCs/>
          <w:color w:val="242320"/>
          <w:sz w:val="20"/>
          <w:lang w:eastAsia="uk-UA"/>
        </w:rPr>
        <w:t>Екстернат організовується для осіб, які:</w:t>
      </w:r>
    </w:p>
    <w:p w:rsidR="00484ACA" w:rsidRPr="00484ACA" w:rsidRDefault="00484ACA" w:rsidP="00484ACA">
      <w:pPr>
        <w:numPr>
          <w:ilvl w:val="0"/>
          <w:numId w:val="2"/>
        </w:numPr>
        <w:shd w:val="clear" w:color="auto" w:fill="FFFFFF"/>
        <w:spacing w:after="0" w:line="240" w:lineRule="auto"/>
        <w:ind w:left="0"/>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w:t>
      </w:r>
    </w:p>
    <w:p w:rsidR="00484ACA" w:rsidRPr="00484ACA" w:rsidRDefault="00484ACA" w:rsidP="00484ACA">
      <w:pPr>
        <w:numPr>
          <w:ilvl w:val="0"/>
          <w:numId w:val="2"/>
        </w:numPr>
        <w:shd w:val="clear" w:color="auto" w:fill="FFFFFF"/>
        <w:spacing w:after="0" w:line="240" w:lineRule="auto"/>
        <w:ind w:left="0"/>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w:t>
      </w:r>
    </w:p>
    <w:p w:rsidR="00484ACA" w:rsidRPr="00484ACA" w:rsidRDefault="00484ACA" w:rsidP="00484ACA">
      <w:pPr>
        <w:numPr>
          <w:ilvl w:val="0"/>
          <w:numId w:val="2"/>
        </w:numPr>
        <w:shd w:val="clear" w:color="auto" w:fill="FFFFFF"/>
        <w:spacing w:after="0" w:line="240" w:lineRule="auto"/>
        <w:ind w:left="0"/>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є громадянами України, які здобували або здобувають загальну середню освіту за кордоном;</w:t>
      </w:r>
    </w:p>
    <w:p w:rsidR="00484ACA" w:rsidRPr="00484ACA" w:rsidRDefault="00484ACA" w:rsidP="00484ACA">
      <w:pPr>
        <w:numPr>
          <w:ilvl w:val="0"/>
          <w:numId w:val="2"/>
        </w:numPr>
        <w:shd w:val="clear" w:color="auto" w:fill="FFFFFF"/>
        <w:spacing w:after="0" w:line="240" w:lineRule="auto"/>
        <w:ind w:left="0"/>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rsidR="00484ACA" w:rsidRPr="00484ACA" w:rsidRDefault="00484ACA" w:rsidP="00484ACA">
      <w:pPr>
        <w:numPr>
          <w:ilvl w:val="0"/>
          <w:numId w:val="2"/>
        </w:numPr>
        <w:shd w:val="clear" w:color="auto" w:fill="FFFFFF"/>
        <w:spacing w:after="0" w:line="240" w:lineRule="auto"/>
        <w:ind w:left="0"/>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прискорено опанували зміст навчальних предметів одного або декількох класів (рівнів повної загальної середньої освіти);</w:t>
      </w:r>
    </w:p>
    <w:p w:rsidR="00484ACA" w:rsidRPr="00484ACA" w:rsidRDefault="00484ACA" w:rsidP="00484ACA">
      <w:pPr>
        <w:numPr>
          <w:ilvl w:val="0"/>
          <w:numId w:val="2"/>
        </w:numPr>
        <w:shd w:val="clear" w:color="auto" w:fill="FFFFFF"/>
        <w:spacing w:after="0" w:line="240" w:lineRule="auto"/>
        <w:ind w:left="0"/>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самостійно опанували зміст окремих навчальних предметів;</w:t>
      </w:r>
    </w:p>
    <w:p w:rsidR="00484ACA" w:rsidRPr="00484ACA" w:rsidRDefault="00484ACA" w:rsidP="00484ACA">
      <w:pPr>
        <w:numPr>
          <w:ilvl w:val="0"/>
          <w:numId w:val="2"/>
        </w:numPr>
        <w:shd w:val="clear" w:color="auto" w:fill="FFFFFF"/>
        <w:spacing w:after="0" w:line="240" w:lineRule="auto"/>
        <w:ind w:left="0"/>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бажають самостійно опанувати зміст окремих навчальних предметів;</w:t>
      </w:r>
    </w:p>
    <w:p w:rsidR="00484ACA" w:rsidRPr="00484ACA" w:rsidRDefault="00484ACA" w:rsidP="00484ACA">
      <w:pPr>
        <w:numPr>
          <w:ilvl w:val="0"/>
          <w:numId w:val="2"/>
        </w:numPr>
        <w:shd w:val="clear" w:color="auto" w:fill="FFFFFF"/>
        <w:spacing w:after="0" w:line="240" w:lineRule="auto"/>
        <w:ind w:left="0"/>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засуджені до довічного позбавлення волі.</w:t>
      </w:r>
    </w:p>
    <w:p w:rsidR="00484ACA" w:rsidRPr="00484ACA" w:rsidRDefault="00484ACA" w:rsidP="00484ACA">
      <w:pPr>
        <w:shd w:val="clear" w:color="auto" w:fill="FFFFFF"/>
        <w:spacing w:after="0" w:line="240" w:lineRule="auto"/>
        <w:rPr>
          <w:rFonts w:ascii="Arial" w:eastAsia="Times New Roman" w:hAnsi="Arial" w:cs="Arial"/>
          <w:color w:val="242320"/>
          <w:sz w:val="20"/>
          <w:szCs w:val="20"/>
          <w:lang w:eastAsia="uk-UA"/>
        </w:rPr>
      </w:pPr>
      <w:r w:rsidRPr="00484ACA">
        <w:rPr>
          <w:rFonts w:ascii="Arial" w:eastAsia="Times New Roman" w:hAnsi="Arial" w:cs="Arial"/>
          <w:b/>
          <w:bCs/>
          <w:color w:val="242320"/>
          <w:sz w:val="20"/>
          <w:lang w:eastAsia="uk-UA"/>
        </w:rPr>
        <w:t xml:space="preserve">Здобуття загальної середньої освіти за </w:t>
      </w:r>
      <w:proofErr w:type="spellStart"/>
      <w:r w:rsidRPr="00484ACA">
        <w:rPr>
          <w:rFonts w:ascii="Arial" w:eastAsia="Times New Roman" w:hAnsi="Arial" w:cs="Arial"/>
          <w:b/>
          <w:bCs/>
          <w:color w:val="242320"/>
          <w:sz w:val="20"/>
          <w:lang w:eastAsia="uk-UA"/>
        </w:rPr>
        <w:t>екстернатною</w:t>
      </w:r>
      <w:proofErr w:type="spellEnd"/>
      <w:r w:rsidRPr="00484ACA">
        <w:rPr>
          <w:rFonts w:ascii="Arial" w:eastAsia="Times New Roman" w:hAnsi="Arial" w:cs="Arial"/>
          <w:b/>
          <w:bCs/>
          <w:color w:val="242320"/>
          <w:sz w:val="20"/>
          <w:lang w:eastAsia="uk-UA"/>
        </w:rPr>
        <w:t xml:space="preserve"> формою не обмежується віком.</w:t>
      </w:r>
    </w:p>
    <w:p w:rsidR="00484ACA" w:rsidRPr="00484ACA" w:rsidRDefault="00484ACA" w:rsidP="00484ACA">
      <w:pPr>
        <w:shd w:val="clear" w:color="auto" w:fill="FFFFFF"/>
        <w:spacing w:after="0" w:line="240" w:lineRule="auto"/>
        <w:outlineLvl w:val="1"/>
        <w:rPr>
          <w:rFonts w:ascii="Arial" w:eastAsia="Times New Roman" w:hAnsi="Arial" w:cs="Arial"/>
          <w:b/>
          <w:bCs/>
          <w:color w:val="242320"/>
          <w:sz w:val="34"/>
          <w:szCs w:val="34"/>
          <w:lang w:eastAsia="uk-UA"/>
        </w:rPr>
      </w:pPr>
      <w:r w:rsidRPr="00484ACA">
        <w:rPr>
          <w:rFonts w:ascii="Arial" w:eastAsia="Times New Roman" w:hAnsi="Arial" w:cs="Arial"/>
          <w:b/>
          <w:bCs/>
          <w:color w:val="242320"/>
          <w:sz w:val="34"/>
          <w:szCs w:val="34"/>
          <w:lang w:eastAsia="uk-UA"/>
        </w:rPr>
        <w:t>Алгоритм дій щодо зарахування на екстернат та проходження навчального процесу</w:t>
      </w:r>
    </w:p>
    <w:p w:rsidR="00484ACA" w:rsidRPr="00484ACA" w:rsidRDefault="00484ACA" w:rsidP="00484ACA">
      <w:pPr>
        <w:shd w:val="clear" w:color="auto" w:fill="FFFFFF"/>
        <w:spacing w:after="0" w:line="240" w:lineRule="auto"/>
        <w:rPr>
          <w:rFonts w:ascii="Arial" w:eastAsia="Times New Roman" w:hAnsi="Arial" w:cs="Arial"/>
          <w:color w:val="242320"/>
          <w:sz w:val="20"/>
          <w:szCs w:val="20"/>
          <w:lang w:eastAsia="uk-UA"/>
        </w:rPr>
      </w:pPr>
      <w:r w:rsidRPr="00484ACA">
        <w:rPr>
          <w:rFonts w:ascii="Arial" w:eastAsia="Times New Roman" w:hAnsi="Arial" w:cs="Arial"/>
          <w:b/>
          <w:bCs/>
          <w:i/>
          <w:iCs/>
          <w:color w:val="242320"/>
          <w:sz w:val="20"/>
          <w:lang w:eastAsia="uk-UA"/>
        </w:rPr>
        <w:t>Навчання екстернів регламентовано </w:t>
      </w:r>
      <w:hyperlink r:id="rId5" w:history="1">
        <w:r w:rsidRPr="00484ACA">
          <w:rPr>
            <w:rFonts w:ascii="Arial" w:eastAsia="Times New Roman" w:hAnsi="Arial" w:cs="Arial"/>
            <w:b/>
            <w:bCs/>
            <w:i/>
            <w:iCs/>
            <w:color w:val="FF6308"/>
            <w:sz w:val="20"/>
            <w:lang w:eastAsia="uk-UA"/>
          </w:rPr>
          <w:t>ПОЛОЖЕННЯМ про індивідуальну форму здобуття загальної середньої освіти</w:t>
        </w:r>
      </w:hyperlink>
      <w:r w:rsidRPr="00484ACA">
        <w:rPr>
          <w:rFonts w:ascii="Arial" w:eastAsia="Times New Roman" w:hAnsi="Arial" w:cs="Arial"/>
          <w:color w:val="242320"/>
          <w:sz w:val="20"/>
          <w:szCs w:val="20"/>
          <w:lang w:eastAsia="uk-UA"/>
        </w:rPr>
        <w:br/>
        <w:t>1.Заяву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rsidR="00484ACA" w:rsidRPr="00484ACA" w:rsidRDefault="00484ACA" w:rsidP="00484ACA">
      <w:pPr>
        <w:shd w:val="clear" w:color="auto" w:fill="FFFFFF"/>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2.Особи, які проживають на неконтрольованій території або території населених пунктів на лінії зіткнення, можуть подати скановану копію заяви будь-якими засобами зв’язку (факсом, електронною поштою тощо).</w:t>
      </w:r>
    </w:p>
    <w:p w:rsidR="00484ACA" w:rsidRPr="00484ACA" w:rsidRDefault="00484ACA" w:rsidP="00484ACA">
      <w:pPr>
        <w:shd w:val="clear" w:color="auto" w:fill="FFFFFF"/>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Особи, зазначені у </w:t>
      </w:r>
      <w:hyperlink r:id="rId6" w:history="1">
        <w:r w:rsidRPr="00484ACA">
          <w:rPr>
            <w:rFonts w:ascii="Arial" w:eastAsia="Times New Roman" w:hAnsi="Arial" w:cs="Arial"/>
            <w:color w:val="FF6308"/>
            <w:sz w:val="20"/>
            <w:lang w:eastAsia="uk-UA"/>
          </w:rPr>
          <w:t>підпунктах 2, 6 пункту 1 розділу ІІ Положення</w:t>
        </w:r>
      </w:hyperlink>
      <w:r w:rsidRPr="00484ACA">
        <w:rPr>
          <w:rFonts w:ascii="Arial" w:eastAsia="Times New Roman" w:hAnsi="Arial" w:cs="Arial"/>
          <w:color w:val="242320"/>
          <w:sz w:val="20"/>
          <w:szCs w:val="20"/>
          <w:lang w:eastAsia="uk-UA"/>
        </w:rPr>
        <w:t>, зазначають у заяві навчальні предмети, з яких необхідно пройти річне оцінювання та/або атестацію екстерном.</w:t>
      </w:r>
    </w:p>
    <w:p w:rsidR="00484ACA" w:rsidRPr="00484ACA" w:rsidRDefault="00484ACA" w:rsidP="00484ACA">
      <w:pPr>
        <w:numPr>
          <w:ilvl w:val="0"/>
          <w:numId w:val="3"/>
        </w:numPr>
        <w:shd w:val="clear" w:color="auto" w:fill="FFFFFF"/>
        <w:spacing w:after="0" w:line="240" w:lineRule="auto"/>
        <w:ind w:left="0"/>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Зарахування особи, яка не має документів (копій документів), що підтверджують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заклад освіти, в якому організовується екстернат на підставі заяви (за формою згідно з додатком 1 до </w:t>
      </w:r>
      <w:hyperlink r:id="rId7" w:history="1">
        <w:r w:rsidRPr="00484ACA">
          <w:rPr>
            <w:rFonts w:ascii="Arial" w:eastAsia="Times New Roman" w:hAnsi="Arial" w:cs="Arial"/>
            <w:color w:val="FF6308"/>
            <w:sz w:val="20"/>
            <w:lang w:eastAsia="uk-UA"/>
          </w:rPr>
          <w:t>Положення</w:t>
        </w:r>
      </w:hyperlink>
      <w:r w:rsidRPr="00484ACA">
        <w:rPr>
          <w:rFonts w:ascii="Arial" w:eastAsia="Times New Roman" w:hAnsi="Arial" w:cs="Arial"/>
          <w:color w:val="242320"/>
          <w:sz w:val="20"/>
          <w:szCs w:val="20"/>
          <w:lang w:eastAsia="uk-UA"/>
        </w:rPr>
        <w:t>) особи, яка подавала заяву про зарахування (переведення) на екстернат.</w:t>
      </w:r>
    </w:p>
    <w:p w:rsidR="00484ACA" w:rsidRPr="00484ACA" w:rsidRDefault="00484ACA" w:rsidP="00484ACA">
      <w:pPr>
        <w:shd w:val="clear" w:color="auto" w:fill="FFFFFF"/>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w:t>
      </w:r>
      <w:hyperlink r:id="rId8" w:history="1">
        <w:r w:rsidRPr="00484ACA">
          <w:rPr>
            <w:rFonts w:ascii="Arial" w:eastAsia="Times New Roman" w:hAnsi="Arial" w:cs="Arial"/>
            <w:color w:val="FF6308"/>
            <w:sz w:val="20"/>
            <w:lang w:eastAsia="uk-UA"/>
          </w:rPr>
          <w:t>ПОЛОЖЕННЯ про індивідуальну форму здобуття загальної середньої освіти</w:t>
        </w:r>
      </w:hyperlink>
      <w:r w:rsidRPr="00484ACA">
        <w:rPr>
          <w:rFonts w:ascii="Arial" w:eastAsia="Times New Roman" w:hAnsi="Arial" w:cs="Arial"/>
          <w:color w:val="242320"/>
          <w:sz w:val="20"/>
          <w:szCs w:val="20"/>
          <w:lang w:eastAsia="uk-UA"/>
        </w:rPr>
        <w:t>(далі - протокол оцінювання).</w:t>
      </w:r>
    </w:p>
    <w:p w:rsidR="00484ACA" w:rsidRPr="00484ACA" w:rsidRDefault="00484ACA" w:rsidP="00484ACA">
      <w:pPr>
        <w:numPr>
          <w:ilvl w:val="0"/>
          <w:numId w:val="4"/>
        </w:numPr>
        <w:shd w:val="clear" w:color="auto" w:fill="FFFFFF"/>
        <w:spacing w:after="0" w:line="240" w:lineRule="auto"/>
        <w:ind w:left="0"/>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Для осіб, зазначених у підпункті 7 пункту 1 ІІ </w:t>
      </w:r>
      <w:hyperlink r:id="rId9" w:history="1">
        <w:r w:rsidRPr="00484ACA">
          <w:rPr>
            <w:rFonts w:ascii="Arial" w:eastAsia="Times New Roman" w:hAnsi="Arial" w:cs="Arial"/>
            <w:color w:val="FF6308"/>
            <w:sz w:val="20"/>
            <w:lang w:eastAsia="uk-UA"/>
          </w:rPr>
          <w:t>розділу</w:t>
        </w:r>
      </w:hyperlink>
      <w:r w:rsidRPr="00484ACA">
        <w:rPr>
          <w:rFonts w:ascii="Arial" w:eastAsia="Times New Roman" w:hAnsi="Arial" w:cs="Arial"/>
          <w:color w:val="242320"/>
          <w:sz w:val="20"/>
          <w:szCs w:val="20"/>
          <w:lang w:eastAsia="uk-UA"/>
        </w:rPr>
        <w:t>,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одного з батьків чи повнолітнього здобувача освіти за формою згідно з додатком 3 до цього Положення.</w:t>
      </w:r>
    </w:p>
    <w:p w:rsidR="00484ACA" w:rsidRPr="00484ACA" w:rsidRDefault="00484ACA" w:rsidP="00484ACA">
      <w:pPr>
        <w:shd w:val="clear" w:color="auto" w:fill="FFFFFF"/>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Індивідуальний навчальний план у такому разі розробляється на основі освітньої програми закладу освіти.</w:t>
      </w:r>
    </w:p>
    <w:p w:rsidR="00484ACA" w:rsidRPr="00484ACA" w:rsidRDefault="00484ACA" w:rsidP="00484ACA">
      <w:pPr>
        <w:numPr>
          <w:ilvl w:val="0"/>
          <w:numId w:val="5"/>
        </w:numPr>
        <w:shd w:val="clear" w:color="auto" w:fill="FFFFFF"/>
        <w:spacing w:after="0" w:line="240" w:lineRule="auto"/>
        <w:ind w:left="0"/>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Оцінювання навчальних досягнень екстернів (крім тих, які навчаються за Державним стандартом початкової освіти)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відповідно до навчального плану освітньої програми, обраної для засвоєння здобувачем освіти.</w:t>
      </w:r>
    </w:p>
    <w:p w:rsidR="00692F5F" w:rsidRPr="004913BB" w:rsidRDefault="00484ACA" w:rsidP="004913BB">
      <w:pPr>
        <w:shd w:val="clear" w:color="auto" w:fill="FFFFFF"/>
        <w:spacing w:after="0" w:line="240" w:lineRule="auto"/>
        <w:rPr>
          <w:rFonts w:ascii="Arial" w:eastAsia="Times New Roman" w:hAnsi="Arial" w:cs="Arial"/>
          <w:color w:val="242320"/>
          <w:sz w:val="20"/>
          <w:szCs w:val="20"/>
          <w:lang w:eastAsia="uk-UA"/>
        </w:rPr>
      </w:pPr>
      <w:r w:rsidRPr="00484ACA">
        <w:rPr>
          <w:rFonts w:ascii="Arial" w:eastAsia="Times New Roman" w:hAnsi="Arial" w:cs="Arial"/>
          <w:color w:val="242320"/>
          <w:sz w:val="20"/>
          <w:szCs w:val="20"/>
          <w:lang w:eastAsia="uk-UA"/>
        </w:rPr>
        <w:t>За результатами оцінювання виставляється річна оцінка з кожного предмета.</w:t>
      </w:r>
    </w:p>
    <w:sectPr w:rsidR="00692F5F" w:rsidRPr="004913BB" w:rsidSect="00692F5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7437"/>
    <w:multiLevelType w:val="multilevel"/>
    <w:tmpl w:val="561A8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F3AFA"/>
    <w:multiLevelType w:val="multilevel"/>
    <w:tmpl w:val="9BCA1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1F5918"/>
    <w:multiLevelType w:val="multilevel"/>
    <w:tmpl w:val="924255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B26620"/>
    <w:multiLevelType w:val="multilevel"/>
    <w:tmpl w:val="9F24B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237A2"/>
    <w:multiLevelType w:val="multilevel"/>
    <w:tmpl w:val="DF2C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ACA"/>
    <w:rsid w:val="00484ACA"/>
    <w:rsid w:val="004913BB"/>
    <w:rsid w:val="00692F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5F"/>
  </w:style>
  <w:style w:type="paragraph" w:styleId="2">
    <w:name w:val="heading 2"/>
    <w:basedOn w:val="a"/>
    <w:link w:val="20"/>
    <w:uiPriority w:val="9"/>
    <w:qFormat/>
    <w:rsid w:val="00484AC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4ACA"/>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484ACA"/>
    <w:rPr>
      <w:color w:val="0000FF"/>
      <w:u w:val="single"/>
    </w:rPr>
  </w:style>
  <w:style w:type="paragraph" w:styleId="a4">
    <w:name w:val="Normal (Web)"/>
    <w:basedOn w:val="a"/>
    <w:uiPriority w:val="99"/>
    <w:unhideWhenUsed/>
    <w:rsid w:val="00484A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84ACA"/>
    <w:rPr>
      <w:b/>
      <w:bCs/>
    </w:rPr>
  </w:style>
  <w:style w:type="character" w:styleId="a6">
    <w:name w:val="Emphasis"/>
    <w:basedOn w:val="a0"/>
    <w:uiPriority w:val="20"/>
    <w:qFormat/>
    <w:rsid w:val="00484ACA"/>
    <w:rPr>
      <w:i/>
      <w:iCs/>
    </w:rPr>
  </w:style>
</w:styles>
</file>

<file path=word/webSettings.xml><?xml version="1.0" encoding="utf-8"?>
<w:webSettings xmlns:r="http://schemas.openxmlformats.org/officeDocument/2006/relationships" xmlns:w="http://schemas.openxmlformats.org/wordprocessingml/2006/main">
  <w:divs>
    <w:div w:id="122621996">
      <w:bodyDiv w:val="1"/>
      <w:marLeft w:val="0"/>
      <w:marRight w:val="0"/>
      <w:marTop w:val="0"/>
      <w:marBottom w:val="0"/>
      <w:divBdr>
        <w:top w:val="none" w:sz="0" w:space="0" w:color="auto"/>
        <w:left w:val="none" w:sz="0" w:space="0" w:color="auto"/>
        <w:bottom w:val="none" w:sz="0" w:space="0" w:color="auto"/>
        <w:right w:val="none" w:sz="0" w:space="0" w:color="auto"/>
      </w:divBdr>
      <w:divsChild>
        <w:div w:id="758410834">
          <w:marLeft w:val="0"/>
          <w:marRight w:val="0"/>
          <w:marTop w:val="0"/>
          <w:marBottom w:val="0"/>
          <w:divBdr>
            <w:top w:val="none" w:sz="0" w:space="0" w:color="auto"/>
            <w:left w:val="none" w:sz="0" w:space="0" w:color="auto"/>
            <w:bottom w:val="none" w:sz="0" w:space="0" w:color="auto"/>
            <w:right w:val="none" w:sz="0" w:space="0" w:color="auto"/>
          </w:divBdr>
        </w:div>
        <w:div w:id="514880059">
          <w:marLeft w:val="0"/>
          <w:marRight w:val="0"/>
          <w:marTop w:val="0"/>
          <w:marBottom w:val="0"/>
          <w:divBdr>
            <w:top w:val="none" w:sz="0" w:space="0" w:color="auto"/>
            <w:left w:val="none" w:sz="0" w:space="0" w:color="auto"/>
            <w:bottom w:val="none" w:sz="0" w:space="0" w:color="auto"/>
            <w:right w:val="none" w:sz="0" w:space="0" w:color="auto"/>
          </w:divBdr>
          <w:divsChild>
            <w:div w:id="1010067951">
              <w:marLeft w:val="0"/>
              <w:marRight w:val="0"/>
              <w:marTop w:val="0"/>
              <w:marBottom w:val="0"/>
              <w:divBdr>
                <w:top w:val="none" w:sz="0" w:space="0" w:color="auto"/>
                <w:left w:val="none" w:sz="0" w:space="0" w:color="auto"/>
                <w:bottom w:val="none" w:sz="0" w:space="0" w:color="auto"/>
                <w:right w:val="none" w:sz="0" w:space="0" w:color="auto"/>
              </w:divBdr>
              <w:divsChild>
                <w:div w:id="1830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852-19" TargetMode="External"/><Relationship Id="rId3" Type="http://schemas.openxmlformats.org/officeDocument/2006/relationships/settings" Target="settings.xml"/><Relationship Id="rId7" Type="http://schemas.openxmlformats.org/officeDocument/2006/relationships/hyperlink" Target="https://zakon.rada.gov.ua/laws/show/z085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852-19" TargetMode="External"/><Relationship Id="rId11" Type="http://schemas.openxmlformats.org/officeDocument/2006/relationships/theme" Target="theme/theme1.xml"/><Relationship Id="rId5" Type="http://schemas.openxmlformats.org/officeDocument/2006/relationships/hyperlink" Target="https://zakon.rada.gov.ua/laws/show/z085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085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3174</Words>
  <Characters>1810</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2023-10-12T08:54:00Z</dcterms:created>
  <dcterms:modified xsi:type="dcterms:W3CDTF">2023-10-12T09:09:00Z</dcterms:modified>
</cp:coreProperties>
</file>